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F24BB" w14:textId="77777777" w:rsidR="003D1436" w:rsidRPr="003D1436" w:rsidRDefault="003D1436" w:rsidP="003D1436">
      <w:pPr>
        <w:pStyle w:val="a3"/>
        <w:shd w:val="clear" w:color="auto" w:fill="FFFFFF"/>
        <w:spacing w:before="0" w:beforeAutospacing="0" w:after="0" w:afterAutospacing="0"/>
        <w:rPr>
          <w:color w:val="222222"/>
        </w:rPr>
      </w:pPr>
      <w:r w:rsidRPr="003D1436">
        <w:rPr>
          <w:b/>
          <w:bCs/>
          <w:color w:val="222222"/>
        </w:rPr>
        <w:t>Оценка сейсмических воздействий для сооружений повышенной ответственности</w:t>
      </w:r>
    </w:p>
    <w:p w14:paraId="1150F38D" w14:textId="77777777" w:rsidR="003D1436" w:rsidRPr="003D1436" w:rsidRDefault="003D1436" w:rsidP="003D1436">
      <w:pPr>
        <w:pStyle w:val="a3"/>
        <w:shd w:val="clear" w:color="auto" w:fill="FFFFFF"/>
        <w:spacing w:before="0" w:beforeAutospacing="0" w:after="0" w:afterAutospacing="0"/>
        <w:rPr>
          <w:color w:val="222222"/>
        </w:rPr>
      </w:pPr>
    </w:p>
    <w:p w14:paraId="2643E3AA" w14:textId="469BB9CD" w:rsidR="003D1436" w:rsidRPr="003D1436" w:rsidRDefault="003D1436" w:rsidP="003D1436">
      <w:pPr>
        <w:pStyle w:val="a3"/>
        <w:shd w:val="clear" w:color="auto" w:fill="FFFFFF"/>
        <w:spacing w:before="0" w:beforeAutospacing="0" w:after="0" w:afterAutospacing="0"/>
        <w:rPr>
          <w:color w:val="222222"/>
        </w:rPr>
      </w:pPr>
      <w:r>
        <w:rPr>
          <w:color w:val="222222"/>
        </w:rPr>
        <w:t xml:space="preserve">Докладчик к. г.-м. н., с. н. с. </w:t>
      </w:r>
      <w:r w:rsidRPr="003D1436">
        <w:rPr>
          <w:color w:val="222222"/>
        </w:rPr>
        <w:t>Институт</w:t>
      </w:r>
      <w:r>
        <w:rPr>
          <w:color w:val="222222"/>
        </w:rPr>
        <w:t>а</w:t>
      </w:r>
      <w:r w:rsidRPr="003D1436">
        <w:rPr>
          <w:color w:val="222222"/>
        </w:rPr>
        <w:t xml:space="preserve"> геологии, сейсмостойкого строительства и сейсмологии НАН Таджикистана</w:t>
      </w:r>
      <w:r>
        <w:rPr>
          <w:color w:val="222222"/>
        </w:rPr>
        <w:t xml:space="preserve">, Анатолий Ростиславович </w:t>
      </w:r>
      <w:proofErr w:type="spellStart"/>
      <w:r w:rsidRPr="003D1436">
        <w:rPr>
          <w:color w:val="222222"/>
        </w:rPr>
        <w:t>Ищук</w:t>
      </w:r>
      <w:proofErr w:type="spellEnd"/>
    </w:p>
    <w:p w14:paraId="4AB8B944" w14:textId="77777777" w:rsidR="003D1436" w:rsidRDefault="003D1436" w:rsidP="003D1436">
      <w:pPr>
        <w:pStyle w:val="a3"/>
        <w:shd w:val="clear" w:color="auto" w:fill="FFFFFF"/>
        <w:spacing w:before="0" w:beforeAutospacing="0" w:after="0" w:afterAutospacing="0"/>
        <w:rPr>
          <w:b/>
          <w:bCs/>
          <w:color w:val="222222"/>
        </w:rPr>
      </w:pPr>
    </w:p>
    <w:p w14:paraId="1581BDDD" w14:textId="60133E00" w:rsidR="003D1436" w:rsidRDefault="003D1436" w:rsidP="003D1436">
      <w:pPr>
        <w:pStyle w:val="a3"/>
        <w:shd w:val="clear" w:color="auto" w:fill="FFFFFF"/>
        <w:spacing w:before="0" w:beforeAutospacing="0" w:after="0" w:afterAutospacing="0"/>
        <w:rPr>
          <w:color w:val="222222"/>
        </w:rPr>
      </w:pPr>
      <w:r w:rsidRPr="003D1436">
        <w:rPr>
          <w:b/>
          <w:bCs/>
          <w:color w:val="222222"/>
        </w:rPr>
        <w:t>Аннотация</w:t>
      </w:r>
      <w:r w:rsidRPr="003D1436">
        <w:rPr>
          <w:color w:val="222222"/>
        </w:rPr>
        <w:t>.</w:t>
      </w:r>
    </w:p>
    <w:p w14:paraId="5D3E744B" w14:textId="77777777" w:rsidR="003D1436" w:rsidRPr="003D1436" w:rsidRDefault="003D1436" w:rsidP="003D1436">
      <w:pPr>
        <w:pStyle w:val="a3"/>
        <w:shd w:val="clear" w:color="auto" w:fill="FFFFFF"/>
        <w:spacing w:before="0" w:beforeAutospacing="0" w:after="0" w:afterAutospacing="0"/>
        <w:rPr>
          <w:color w:val="222222"/>
        </w:rPr>
      </w:pPr>
    </w:p>
    <w:p w14:paraId="2D5D773E" w14:textId="79DB9A27" w:rsidR="003D1436" w:rsidRPr="003D1436" w:rsidRDefault="003D1436" w:rsidP="003D1436">
      <w:pPr>
        <w:pStyle w:val="a3"/>
        <w:shd w:val="clear" w:color="auto" w:fill="FFFFFF"/>
        <w:spacing w:before="0" w:beforeAutospacing="0" w:after="0" w:afterAutospacing="0"/>
        <w:jc w:val="both"/>
        <w:rPr>
          <w:color w:val="222222"/>
        </w:rPr>
      </w:pPr>
      <w:r w:rsidRPr="003D1436">
        <w:rPr>
          <w:color w:val="222222"/>
        </w:rPr>
        <w:t>Для оценки сейсмических воздействий на площадке строительства используется сейсмическое микрорайонирование на основе карты Общего сейсмического районирования (ОСР) по шкале MSK-64, учитывая местные грунтовые условия и предоставляя результаты в единицах шкалы MSK-64 для текущей строительной площадки с точностью ±1 балл. Учитывая современные методологии и подходы, предлагается современный подход, основанный на, так называемом, анализе сейсмической опасности, специфичном для данной площадки, вместо традиционного микрорайонирования.</w:t>
      </w:r>
    </w:p>
    <w:p w14:paraId="75B44296" w14:textId="660F73D5" w:rsidR="003D1436" w:rsidRPr="003D1436" w:rsidRDefault="003D1436" w:rsidP="003D1436">
      <w:pPr>
        <w:pStyle w:val="a3"/>
        <w:shd w:val="clear" w:color="auto" w:fill="FFFFFF"/>
        <w:spacing w:before="0" w:beforeAutospacing="0" w:after="0" w:afterAutospacing="0"/>
        <w:jc w:val="both"/>
        <w:rPr>
          <w:color w:val="222222"/>
        </w:rPr>
      </w:pPr>
      <w:r w:rsidRPr="003D1436">
        <w:rPr>
          <w:color w:val="222222"/>
        </w:rPr>
        <w:t>В качестве сейсмических источников определяется зональность расположения эпицентров землетрясений, а также активные разломы, способные вызвать сильные землетрясения. Далее, с использованием современных моделей прогнозирования движения грунта (GMPM) и специального программного обеспечения вычисляются спектральные ускорения, учитывающие местные грунтовые условия по значению скорости Vs30.</w:t>
      </w:r>
    </w:p>
    <w:p w14:paraId="1F6B761F" w14:textId="40004979" w:rsidR="003D1436" w:rsidRPr="003D1436" w:rsidRDefault="003D1436" w:rsidP="003D1436">
      <w:pPr>
        <w:pStyle w:val="a3"/>
        <w:shd w:val="clear" w:color="auto" w:fill="FFFFFF"/>
        <w:spacing w:before="0" w:beforeAutospacing="0" w:after="0" w:afterAutospacing="0"/>
        <w:jc w:val="both"/>
        <w:rPr>
          <w:color w:val="222222"/>
        </w:rPr>
      </w:pPr>
      <w:r w:rsidRPr="003D1436">
        <w:rPr>
          <w:color w:val="222222"/>
        </w:rPr>
        <w:t>Как правило, используются два подхода для оценки сейсмического воздействия на конкретной строительной площадке: детерминистский анализ сейсмической опасности (ДАСО) и вероятностный (ВАСО). Результаты представляются в виде унифицированных спектров опасности с задаваемым интервалом периодов колебаний. При ВАСО расчёты проводятся для различных заданных вероятностей превышения расчётных значений на срок службы сооружения (50 или 100 лет). При ДАСО учитывается возможность возникновения максимального вероятного землетрясения (</w:t>
      </w:r>
      <w:proofErr w:type="spellStart"/>
      <w:r w:rsidRPr="003D1436">
        <w:rPr>
          <w:color w:val="222222"/>
        </w:rPr>
        <w:t>maximum</w:t>
      </w:r>
      <w:proofErr w:type="spellEnd"/>
      <w:r w:rsidRPr="003D1436">
        <w:rPr>
          <w:color w:val="222222"/>
        </w:rPr>
        <w:t xml:space="preserve"> </w:t>
      </w:r>
      <w:proofErr w:type="spellStart"/>
      <w:r w:rsidRPr="003D1436">
        <w:rPr>
          <w:color w:val="222222"/>
        </w:rPr>
        <w:t>credible</w:t>
      </w:r>
      <w:proofErr w:type="spellEnd"/>
      <w:r w:rsidRPr="003D1436">
        <w:rPr>
          <w:color w:val="222222"/>
        </w:rPr>
        <w:t xml:space="preserve"> </w:t>
      </w:r>
      <w:proofErr w:type="spellStart"/>
      <w:r w:rsidRPr="003D1436">
        <w:rPr>
          <w:color w:val="222222"/>
        </w:rPr>
        <w:t>earthquake</w:t>
      </w:r>
      <w:proofErr w:type="spellEnd"/>
      <w:r w:rsidRPr="003D1436">
        <w:rPr>
          <w:color w:val="222222"/>
        </w:rPr>
        <w:t>).</w:t>
      </w:r>
    </w:p>
    <w:p w14:paraId="789F4007" w14:textId="549CFE7C" w:rsidR="003D1436" w:rsidRPr="003D1436" w:rsidRDefault="003D1436" w:rsidP="003D1436">
      <w:pPr>
        <w:pStyle w:val="a3"/>
        <w:shd w:val="clear" w:color="auto" w:fill="FFFFFF"/>
        <w:spacing w:before="0" w:beforeAutospacing="0" w:after="0" w:afterAutospacing="0"/>
        <w:jc w:val="both"/>
        <w:rPr>
          <w:color w:val="222222"/>
        </w:rPr>
      </w:pPr>
      <w:r w:rsidRPr="003D1436">
        <w:rPr>
          <w:color w:val="222222"/>
        </w:rPr>
        <w:t xml:space="preserve">Для более полного учёта динамических воздействий на сооружения, строятся синтезированные </w:t>
      </w:r>
      <w:proofErr w:type="spellStart"/>
      <w:r w:rsidRPr="003D1436">
        <w:rPr>
          <w:color w:val="222222"/>
        </w:rPr>
        <w:t>акселерограммы</w:t>
      </w:r>
      <w:proofErr w:type="spellEnd"/>
      <w:r w:rsidRPr="003D1436">
        <w:rPr>
          <w:color w:val="222222"/>
        </w:rPr>
        <w:t xml:space="preserve">. </w:t>
      </w:r>
      <w:proofErr w:type="spellStart"/>
      <w:r w:rsidRPr="003D1436">
        <w:rPr>
          <w:color w:val="222222"/>
        </w:rPr>
        <w:t>Акселерограммы</w:t>
      </w:r>
      <w:proofErr w:type="spellEnd"/>
      <w:r w:rsidRPr="003D1436">
        <w:rPr>
          <w:color w:val="222222"/>
        </w:rPr>
        <w:t xml:space="preserve"> синтезируют на основе реальных записей сильных движений, беря в качестве целевых значений спектры реакции, полученные при оценке сейсмической опасности с учётом необходимой вероятности превышения расчётных значений на срок службы сооружения. Используется, как правило, два подхода </w:t>
      </w:r>
      <w:r>
        <w:rPr>
          <w:color w:val="222222"/>
        </w:rPr>
        <w:t>–</w:t>
      </w:r>
      <w:r w:rsidRPr="003D1436">
        <w:rPr>
          <w:color w:val="222222"/>
        </w:rPr>
        <w:t xml:space="preserve"> масштабирование записей и выравнивание записей. При этом необходимо учитывать тип инструментальных записей при их выборе для анализа, в зависимости от важности и сложности сооружения.</w:t>
      </w:r>
    </w:p>
    <w:p w14:paraId="7EA23D27" w14:textId="25DBAAFF" w:rsidR="00C42CBE" w:rsidRDefault="00C42CBE">
      <w:pPr>
        <w:rPr>
          <w:rFonts w:cs="Times New Roman"/>
          <w:sz w:val="24"/>
          <w:szCs w:val="24"/>
        </w:rPr>
      </w:pPr>
    </w:p>
    <w:sectPr w:rsidR="00C42C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0B"/>
    <w:rsid w:val="0010730B"/>
    <w:rsid w:val="00170B17"/>
    <w:rsid w:val="0025130B"/>
    <w:rsid w:val="003D1436"/>
    <w:rsid w:val="00882D26"/>
    <w:rsid w:val="00C42CBE"/>
    <w:rsid w:val="00FB5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56C1B"/>
  <w15:chartTrackingRefBased/>
  <w15:docId w15:val="{FCF48868-E873-42F7-A5A6-6176B6F7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1436"/>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71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342</Words>
  <Characters>1956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Hyperboloid</dc:creator>
  <cp:keywords/>
  <dc:description/>
  <cp:lastModifiedBy>Hyperboloid</cp:lastModifiedBy>
  <cp:revision>3</cp:revision>
  <dcterms:created xsi:type="dcterms:W3CDTF">2025-11-26T13:49:00Z</dcterms:created>
  <dcterms:modified xsi:type="dcterms:W3CDTF">2025-11-28T08:02:00Z</dcterms:modified>
</cp:coreProperties>
</file>